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53" w:rsidRPr="00FE37B2" w:rsidRDefault="009C3715" w:rsidP="00931553">
      <w:pPr>
        <w:jc w:val="center"/>
        <w:rPr>
          <w:rFonts w:ascii="Arial" w:hAnsi="Arial" w:cs="Arial"/>
          <w:b/>
          <w:sz w:val="32"/>
          <w:szCs w:val="32"/>
        </w:rPr>
      </w:pPr>
      <w:bookmarkStart w:id="0" w:name="_GoBack"/>
      <w:bookmarkEnd w:id="0"/>
      <w:r>
        <w:rPr>
          <w:rFonts w:ascii="Arial" w:hAnsi="Arial" w:cs="Arial"/>
          <w:b/>
          <w:sz w:val="32"/>
          <w:szCs w:val="32"/>
        </w:rPr>
        <w:t xml:space="preserve">Lesson Plan - </w:t>
      </w:r>
      <w:bookmarkStart w:id="1" w:name="Text6"/>
      <w:r w:rsidR="00C467B1">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C467B1">
        <w:rPr>
          <w:rFonts w:ascii="Arial" w:hAnsi="Arial" w:cs="Arial"/>
          <w:b/>
          <w:sz w:val="32"/>
          <w:szCs w:val="32"/>
        </w:rPr>
      </w:r>
      <w:r w:rsidR="00C467B1">
        <w:rPr>
          <w:rFonts w:ascii="Arial" w:hAnsi="Arial" w:cs="Arial"/>
          <w:b/>
          <w:sz w:val="32"/>
          <w:szCs w:val="32"/>
        </w:rPr>
        <w:fldChar w:fldCharType="separate"/>
      </w:r>
      <w:r>
        <w:rPr>
          <w:rFonts w:ascii="Arial" w:hAnsi="Arial" w:cs="Arial"/>
          <w:b/>
          <w:noProof/>
          <w:sz w:val="32"/>
          <w:szCs w:val="32"/>
        </w:rPr>
        <w:t>American History</w:t>
      </w:r>
      <w:r w:rsidR="00C467B1">
        <w:rPr>
          <w:rFonts w:ascii="Arial" w:hAnsi="Arial" w:cs="Arial"/>
          <w:b/>
          <w:sz w:val="32"/>
          <w:szCs w:val="32"/>
        </w:rP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F67793">
            <w:pPr>
              <w:jc w:val="center"/>
              <w:outlineLvl w:val="0"/>
              <w:rPr>
                <w:b/>
                <w:szCs w:val="20"/>
              </w:rPr>
            </w:pPr>
            <w:r>
              <w:rPr>
                <w:b/>
                <w:szCs w:val="20"/>
              </w:rPr>
              <w:t xml:space="preserve">Unit </w:t>
            </w:r>
            <w:r w:rsidR="00F67793">
              <w:rPr>
                <w:b/>
                <w:szCs w:val="20"/>
              </w:rPr>
              <w:t>3</w:t>
            </w:r>
            <w:r>
              <w:rPr>
                <w:b/>
                <w:szCs w:val="20"/>
              </w:rPr>
              <w:t xml:space="preserve"> –</w:t>
            </w:r>
            <w:r w:rsidR="00AD32CA">
              <w:rPr>
                <w:b/>
                <w:szCs w:val="20"/>
              </w:rPr>
              <w:t xml:space="preserve"> </w:t>
            </w:r>
            <w:r w:rsidR="00BB37B3">
              <w:rPr>
                <w:b/>
                <w:szCs w:val="20"/>
              </w:rPr>
              <w:t>Industrialization</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4B640C">
              <w:rPr>
                <w:rFonts w:ascii="Arial" w:hAnsi="Arial" w:cs="Arial"/>
                <w:b/>
                <w:sz w:val="20"/>
                <w:szCs w:val="20"/>
              </w:rPr>
              <w:t>McDonald</w:t>
            </w:r>
            <w:r w:rsidR="00F67793">
              <w:rPr>
                <w:rFonts w:ascii="Arial" w:hAnsi="Arial" w:cs="Arial"/>
                <w:b/>
                <w:sz w:val="20"/>
                <w:szCs w:val="20"/>
              </w:rPr>
              <w:t xml:space="preserve"> / 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661517">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w:t>
            </w:r>
            <w:r w:rsidR="008650A0">
              <w:rPr>
                <w:rFonts w:ascii="Arial" w:hAnsi="Arial" w:cs="Arial"/>
                <w:sz w:val="20"/>
                <w:szCs w:val="20"/>
              </w:rPr>
              <w:t xml:space="preserve">understand how </w:t>
            </w:r>
            <w:r w:rsidR="00661517">
              <w:rPr>
                <w:rFonts w:ascii="Arial" w:hAnsi="Arial" w:cs="Arial"/>
                <w:sz w:val="20"/>
                <w:szCs w:val="20"/>
              </w:rPr>
              <w:t>industrialization changed America</w:t>
            </w:r>
          </w:p>
        </w:tc>
        <w:tc>
          <w:tcPr>
            <w:tcW w:w="4878" w:type="dxa"/>
            <w:gridSpan w:val="2"/>
          </w:tcPr>
          <w:p w:rsidR="00931553" w:rsidRPr="00685DA5" w:rsidRDefault="009C3715" w:rsidP="00F67793">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F67793" w:rsidRDefault="009C3715" w:rsidP="00F67793">
            <w:pPr>
              <w:spacing w:line="240" w:lineRule="auto"/>
              <w:rPr>
                <w:rFonts w:ascii="Arial" w:hAnsi="Arial" w:cs="Arial"/>
                <w:sz w:val="20"/>
                <w:szCs w:val="20"/>
              </w:rPr>
            </w:pPr>
            <w:r w:rsidRPr="00AA0F40">
              <w:rPr>
                <w:rFonts w:ascii="Arial" w:hAnsi="Arial" w:cs="Arial"/>
                <w:b/>
                <w:sz w:val="20"/>
                <w:szCs w:val="20"/>
              </w:rPr>
              <w:t>Standard/Benchmark</w:t>
            </w:r>
            <w:r w:rsidRPr="00296CED">
              <w:rPr>
                <w:b/>
                <w:szCs w:val="16"/>
                <w:lang w:bidi="en-US"/>
              </w:rPr>
              <w:t xml:space="preserve">: </w:t>
            </w:r>
            <w:r w:rsidR="005A050B">
              <w:t xml:space="preserve"> </w:t>
            </w:r>
            <w:hyperlink r:id="rId5" w:history="1">
              <w:r w:rsidR="005A050B" w:rsidRPr="005A050B">
                <w:rPr>
                  <w:rStyle w:val="Hyperlink"/>
                  <w:rFonts w:ascii="Arial" w:hAnsi="Arial" w:cs="Arial"/>
                  <w:color w:val="auto"/>
                  <w:sz w:val="20"/>
                  <w:szCs w:val="20"/>
                </w:rPr>
                <w:t>LA.1112.1.6.1</w:t>
              </w:r>
            </w:hyperlink>
            <w:r w:rsidR="005A050B" w:rsidRPr="005A050B">
              <w:rPr>
                <w:rFonts w:ascii="Arial" w:hAnsi="Arial" w:cs="Arial"/>
                <w:sz w:val="20"/>
                <w:szCs w:val="20"/>
              </w:rPr>
              <w:t xml:space="preserve">, </w:t>
            </w:r>
            <w:hyperlink r:id="rId6" w:history="1">
              <w:r w:rsidR="005A050B" w:rsidRPr="005A050B">
                <w:rPr>
                  <w:rStyle w:val="Hyperlink"/>
                  <w:rFonts w:ascii="Arial" w:hAnsi="Arial" w:cs="Arial"/>
                  <w:color w:val="auto"/>
                  <w:sz w:val="20"/>
                  <w:szCs w:val="20"/>
                </w:rPr>
                <w:t>LA.1112.2.2.2</w:t>
              </w:r>
            </w:hyperlink>
            <w:r w:rsidR="005A050B" w:rsidRPr="005A050B">
              <w:rPr>
                <w:rFonts w:ascii="Arial" w:hAnsi="Arial" w:cs="Arial"/>
                <w:sz w:val="20"/>
                <w:szCs w:val="20"/>
              </w:rPr>
              <w:t xml:space="preserve">, </w:t>
            </w:r>
            <w:hyperlink r:id="rId7" w:history="1">
              <w:r w:rsidR="005A050B" w:rsidRPr="005A050B">
                <w:rPr>
                  <w:rStyle w:val="Hyperlink"/>
                  <w:rFonts w:ascii="Arial" w:hAnsi="Arial" w:cs="Arial"/>
                  <w:color w:val="auto"/>
                  <w:sz w:val="20"/>
                  <w:szCs w:val="20"/>
                </w:rPr>
                <w:t>LA.1112.2.2.3</w:t>
              </w:r>
            </w:hyperlink>
            <w:r w:rsidR="005A050B" w:rsidRPr="005A050B">
              <w:rPr>
                <w:rFonts w:ascii="Arial" w:hAnsi="Arial" w:cs="Arial"/>
                <w:sz w:val="20"/>
                <w:szCs w:val="20"/>
              </w:rPr>
              <w:t xml:space="preserve">, </w:t>
            </w:r>
            <w:hyperlink r:id="rId8" w:history="1">
              <w:r w:rsidR="005A050B" w:rsidRPr="005A050B">
                <w:rPr>
                  <w:rStyle w:val="Hyperlink"/>
                  <w:rFonts w:ascii="Arial" w:hAnsi="Arial" w:cs="Arial"/>
                  <w:color w:val="auto"/>
                  <w:sz w:val="20"/>
                  <w:szCs w:val="20"/>
                </w:rPr>
                <w:t>SS.912.A.1.2</w:t>
              </w:r>
            </w:hyperlink>
            <w:r w:rsidR="005A050B" w:rsidRPr="005A050B">
              <w:rPr>
                <w:rFonts w:ascii="Arial" w:hAnsi="Arial" w:cs="Arial"/>
                <w:sz w:val="20"/>
                <w:szCs w:val="20"/>
              </w:rPr>
              <w:t xml:space="preserve">, </w:t>
            </w:r>
            <w:hyperlink r:id="rId9" w:history="1">
              <w:r w:rsidR="005A050B" w:rsidRPr="005A050B">
                <w:rPr>
                  <w:rStyle w:val="Hyperlink"/>
                  <w:rFonts w:ascii="Arial" w:hAnsi="Arial" w:cs="Arial"/>
                  <w:color w:val="auto"/>
                  <w:sz w:val="20"/>
                  <w:szCs w:val="20"/>
                </w:rPr>
                <w:t>SS.912.A.1.4</w:t>
              </w:r>
            </w:hyperlink>
            <w:r w:rsidR="005A050B" w:rsidRPr="005A050B">
              <w:rPr>
                <w:rFonts w:ascii="Arial" w:hAnsi="Arial" w:cs="Arial"/>
                <w:sz w:val="20"/>
                <w:szCs w:val="20"/>
              </w:rPr>
              <w:t xml:space="preserve">, </w:t>
            </w:r>
            <w:hyperlink r:id="rId10" w:history="1">
              <w:r w:rsidR="005A050B" w:rsidRPr="005A050B">
                <w:rPr>
                  <w:rStyle w:val="Hyperlink"/>
                  <w:rFonts w:ascii="Arial" w:hAnsi="Arial" w:cs="Arial"/>
                  <w:color w:val="auto"/>
                  <w:sz w:val="20"/>
                  <w:szCs w:val="20"/>
                </w:rPr>
                <w:t>SS.912.A.3.2</w:t>
              </w:r>
            </w:hyperlink>
            <w:r w:rsidR="005A050B" w:rsidRPr="005A050B">
              <w:rPr>
                <w:rFonts w:ascii="Arial" w:hAnsi="Arial" w:cs="Arial"/>
                <w:sz w:val="20"/>
                <w:szCs w:val="20"/>
              </w:rPr>
              <w:t xml:space="preserve">, </w:t>
            </w:r>
            <w:hyperlink r:id="rId11" w:history="1">
              <w:r w:rsidR="005A050B" w:rsidRPr="005A050B">
                <w:rPr>
                  <w:rStyle w:val="Hyperlink"/>
                  <w:rFonts w:ascii="Arial" w:hAnsi="Arial" w:cs="Arial"/>
                  <w:color w:val="auto"/>
                  <w:sz w:val="20"/>
                  <w:szCs w:val="20"/>
                </w:rPr>
                <w:t>SS.912.A.3.4</w:t>
              </w:r>
            </w:hyperlink>
            <w:r w:rsidR="005A050B" w:rsidRPr="005A050B">
              <w:rPr>
                <w:rFonts w:ascii="Arial" w:hAnsi="Arial" w:cs="Arial"/>
                <w:sz w:val="20"/>
                <w:szCs w:val="20"/>
              </w:rPr>
              <w:t xml:space="preserve">, </w:t>
            </w:r>
            <w:hyperlink r:id="rId12" w:history="1">
              <w:r w:rsidR="005A050B" w:rsidRPr="005A050B">
                <w:rPr>
                  <w:rStyle w:val="Hyperlink"/>
                  <w:rFonts w:ascii="Arial" w:hAnsi="Arial" w:cs="Arial"/>
                  <w:color w:val="auto"/>
                  <w:sz w:val="20"/>
                  <w:szCs w:val="20"/>
                </w:rPr>
                <w:t>SS.912.A.3.10</w:t>
              </w:r>
            </w:hyperlink>
            <w:r w:rsidR="00942E11">
              <w:rPr>
                <w:rFonts w:ascii="Helvetica" w:hAnsi="Helvetica"/>
                <w:sz w:val="18"/>
                <w:szCs w:val="18"/>
              </w:rPr>
              <w:t xml:space="preserve"> </w:t>
            </w:r>
            <w:r w:rsidR="00F67793" w:rsidRPr="006E555C">
              <w:rPr>
                <w:rFonts w:ascii="Arial" w:hAnsi="Arial" w:cs="Arial"/>
                <w:sz w:val="20"/>
                <w:szCs w:val="20"/>
                <w:u w:val="single"/>
              </w:rPr>
              <w:t xml:space="preserve"> Common Core</w:t>
            </w:r>
            <w:r w:rsidR="00F67793" w:rsidRPr="006E555C">
              <w:rPr>
                <w:rFonts w:ascii="Arial" w:hAnsi="Arial" w:cs="Arial"/>
                <w:sz w:val="20"/>
                <w:szCs w:val="20"/>
              </w:rPr>
              <w:t xml:space="preserve"> - RH 1, 11-12 RH 2, 11-12 RH 3, 11-12 RH 4, 11-12 RH 9, 11-12 RH 7 (</w:t>
            </w:r>
            <w:r w:rsidR="00F67793" w:rsidRPr="006E555C">
              <w:rPr>
                <w:rFonts w:ascii="Arial" w:hAnsi="Arial" w:cs="Arial"/>
                <w:b/>
                <w:sz w:val="20"/>
                <w:szCs w:val="20"/>
                <w:u w:val="single"/>
              </w:rPr>
              <w:t>see attached standards lists</w:t>
            </w:r>
            <w:r w:rsidR="00F67793">
              <w:rPr>
                <w:rFonts w:ascii="Arial" w:hAnsi="Arial" w:cs="Arial"/>
                <w:b/>
                <w:sz w:val="20"/>
                <w:szCs w:val="20"/>
                <w:u w:val="single"/>
              </w:rPr>
              <w:t>)</w:t>
            </w:r>
          </w:p>
        </w:tc>
      </w:tr>
      <w:tr w:rsidR="00931553" w:rsidRPr="00685DA5">
        <w:trPr>
          <w:trHeight w:val="278"/>
        </w:trPr>
        <w:tc>
          <w:tcPr>
            <w:tcW w:w="14616" w:type="dxa"/>
            <w:gridSpan w:val="3"/>
          </w:tcPr>
          <w:p w:rsidR="00931553" w:rsidRPr="000351A9" w:rsidRDefault="009C3715" w:rsidP="00F67793">
            <w:pPr>
              <w:rPr>
                <w:sz w:val="20"/>
                <w:szCs w:val="2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BB37B3">
              <w:rPr>
                <w:rStyle w:val="NoteLevel11"/>
                <w:b/>
                <w:bCs/>
                <w:color w:val="000000"/>
              </w:rPr>
              <w:t xml:space="preserve"> </w:t>
            </w:r>
            <w:r w:rsidR="005A050B">
              <w:rPr>
                <w:rStyle w:val="NoteLevel11"/>
                <w:b/>
                <w:bCs/>
              </w:rPr>
              <w:t xml:space="preserve"> </w:t>
            </w:r>
            <w:r w:rsidR="000351A9">
              <w:rPr>
                <w:rStyle w:val="NoteLevel11"/>
                <w:bCs/>
                <w:color w:val="auto"/>
              </w:rPr>
              <w:t>How did the development of Big Business change American society?</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F67793">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F67793">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F67793">
              <w:t xml:space="preserve">Andrew Carnegie, JD Rockefeller, </w:t>
            </w:r>
            <w:r w:rsidR="00661517">
              <w:t>laissez-faire, monopoly, holding company</w:t>
            </w:r>
            <w:r w:rsidR="00F67793">
              <w:t>, horizontal integration, vertical integration</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8650A0" w:rsidRPr="008650A0" w:rsidRDefault="00F67793" w:rsidP="00F67793">
            <w:pPr>
              <w:spacing w:line="240" w:lineRule="auto"/>
              <w:rPr>
                <w:rFonts w:ascii="Arial" w:hAnsi="Arial" w:cs="Arial"/>
                <w:sz w:val="20"/>
                <w:szCs w:val="20"/>
              </w:rPr>
            </w:pPr>
            <w:r w:rsidRPr="006D31FF">
              <w:rPr>
                <w:rFonts w:ascii="Arial" w:hAnsi="Arial" w:cs="Arial"/>
                <w:b/>
                <w:sz w:val="20"/>
                <w:szCs w:val="20"/>
              </w:rPr>
              <w:t xml:space="preserve">Warm-up/Opening: </w:t>
            </w:r>
            <w:r>
              <w:rPr>
                <w:rFonts w:ascii="Arial" w:hAnsi="Arial" w:cs="Arial"/>
                <w:sz w:val="20"/>
                <w:szCs w:val="20"/>
              </w:rPr>
              <w:t xml:space="preserve"> Students will engage in a primary source analysis / vocab activity prior to the start of class.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5A050B"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r w:rsidR="005A050B">
              <w:rPr>
                <w:rFonts w:ascii="Arial" w:hAnsi="Arial" w:cs="Arial"/>
                <w:b/>
                <w:sz w:val="20"/>
                <w:szCs w:val="20"/>
              </w:rPr>
              <w:t xml:space="preserve">  </w:t>
            </w:r>
          </w:p>
          <w:p w:rsidR="005A050B" w:rsidRDefault="005A050B" w:rsidP="00931553">
            <w:pPr>
              <w:spacing w:after="0" w:line="240" w:lineRule="auto"/>
              <w:rPr>
                <w:rFonts w:ascii="Arial" w:hAnsi="Arial" w:cs="Arial"/>
                <w:b/>
                <w:sz w:val="20"/>
                <w:szCs w:val="20"/>
              </w:rPr>
            </w:pPr>
          </w:p>
          <w:p w:rsidR="00931553" w:rsidRDefault="005A050B" w:rsidP="00931553">
            <w:pPr>
              <w:spacing w:after="0" w:line="240" w:lineRule="auto"/>
              <w:rPr>
                <w:rFonts w:ascii="Arial" w:hAnsi="Arial" w:cs="Arial"/>
                <w:b/>
                <w:sz w:val="20"/>
                <w:szCs w:val="20"/>
              </w:rPr>
            </w:pPr>
            <w:r>
              <w:rPr>
                <w:rFonts w:ascii="Arial" w:hAnsi="Arial" w:cs="Arial"/>
                <w:b/>
                <w:sz w:val="20"/>
                <w:szCs w:val="20"/>
              </w:rPr>
              <w:t>***Short video from online text may be used pre-mini lesson or post mini lesson to help highlight some of the key ideas of today’s lesson***</w:t>
            </w:r>
          </w:p>
          <w:p w:rsidR="005A050B" w:rsidRDefault="005A050B" w:rsidP="00931553">
            <w:pPr>
              <w:spacing w:after="0" w:line="240" w:lineRule="auto"/>
              <w:rPr>
                <w:rFonts w:ascii="Arial" w:hAnsi="Arial" w:cs="Arial"/>
                <w:b/>
                <w:sz w:val="20"/>
                <w:szCs w:val="20"/>
              </w:rPr>
            </w:pPr>
          </w:p>
          <w:p w:rsidR="005A050B" w:rsidRPr="0031222E" w:rsidRDefault="005A050B" w:rsidP="00931553">
            <w:pPr>
              <w:spacing w:after="0" w:line="240" w:lineRule="auto"/>
              <w:rPr>
                <w:rFonts w:ascii="Arial" w:hAnsi="Arial" w:cs="Arial"/>
                <w:b/>
                <w:sz w:val="20"/>
                <w:szCs w:val="20"/>
              </w:rPr>
            </w:pPr>
            <w:r>
              <w:rPr>
                <w:rFonts w:ascii="Arial" w:hAnsi="Arial" w:cs="Arial"/>
                <w:b/>
                <w:sz w:val="20"/>
                <w:szCs w:val="20"/>
              </w:rPr>
              <w:t xml:space="preserve">Video :  </w:t>
            </w:r>
            <w:r w:rsidR="0009587F">
              <w:rPr>
                <w:rFonts w:ascii="Arial" w:hAnsi="Arial" w:cs="Arial"/>
                <w:b/>
                <w:sz w:val="20"/>
                <w:szCs w:val="20"/>
              </w:rPr>
              <w:t xml:space="preserve">Resource search </w:t>
            </w:r>
            <w:r>
              <w:rPr>
                <w:rFonts w:ascii="Arial" w:hAnsi="Arial" w:cs="Arial"/>
                <w:b/>
                <w:sz w:val="20"/>
                <w:szCs w:val="20"/>
              </w:rPr>
              <w:t>“</w:t>
            </w:r>
            <w:r w:rsidR="0009587F">
              <w:rPr>
                <w:rFonts w:ascii="Arial" w:hAnsi="Arial" w:cs="Arial"/>
                <w:b/>
                <w:sz w:val="20"/>
                <w:szCs w:val="20"/>
              </w:rPr>
              <w:t xml:space="preserve">Growth of </w:t>
            </w:r>
            <w:r>
              <w:rPr>
                <w:rFonts w:ascii="Arial" w:hAnsi="Arial" w:cs="Arial"/>
                <w:b/>
                <w:sz w:val="20"/>
                <w:szCs w:val="20"/>
              </w:rPr>
              <w:t>Big Business”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F67793" w:rsidRDefault="00F67793" w:rsidP="00F67793">
            <w:pPr>
              <w:spacing w:after="0" w:line="240" w:lineRule="auto"/>
              <w:rPr>
                <w:rFonts w:ascii="Arial" w:hAnsi="Arial" w:cs="Arial"/>
                <w:b/>
                <w:sz w:val="20"/>
                <w:szCs w:val="20"/>
              </w:rPr>
            </w:pPr>
            <w:r>
              <w:rPr>
                <w:rFonts w:ascii="Arial" w:hAnsi="Arial" w:cs="Arial"/>
                <w:b/>
                <w:sz w:val="20"/>
                <w:szCs w:val="20"/>
              </w:rPr>
              <w:t>Instructional Strategy:</w:t>
            </w:r>
          </w:p>
          <w:p w:rsidR="00F67793" w:rsidRPr="00942E11" w:rsidRDefault="00F67793" w:rsidP="00F67793">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F67793" w:rsidRPr="009F4E4D" w:rsidRDefault="00F67793" w:rsidP="00F67793">
            <w:pPr>
              <w:spacing w:after="0" w:line="240" w:lineRule="auto"/>
              <w:rPr>
                <w:rFonts w:ascii="Arial" w:hAnsi="Arial" w:cs="Arial"/>
                <w:b/>
                <w:sz w:val="20"/>
                <w:szCs w:val="20"/>
              </w:rPr>
            </w:pPr>
          </w:p>
          <w:p w:rsidR="00F67793" w:rsidRPr="009F4E4D" w:rsidRDefault="00F67793" w:rsidP="00F67793">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F67793" w:rsidRDefault="00F67793" w:rsidP="00F67793">
            <w:pPr>
              <w:tabs>
                <w:tab w:val="left" w:pos="2100"/>
              </w:tabs>
              <w:spacing w:after="0" w:line="240" w:lineRule="auto"/>
              <w:rPr>
                <w:rFonts w:ascii="Arial" w:hAnsi="Arial" w:cs="Arial"/>
                <w:b/>
                <w:sz w:val="20"/>
                <w:szCs w:val="20"/>
              </w:rPr>
            </w:pPr>
          </w:p>
          <w:p w:rsidR="00F67793" w:rsidRPr="009F4E4D" w:rsidRDefault="00F67793" w:rsidP="00F67793">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F67793" w:rsidRPr="00942E11" w:rsidRDefault="00F67793" w:rsidP="00F67793">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Default="00BB292F" w:rsidP="005669B0">
            <w:pPr>
              <w:spacing w:after="0" w:line="240" w:lineRule="auto"/>
              <w:rPr>
                <w:rFonts w:ascii="Arial" w:hAnsi="Arial" w:cs="Arial"/>
                <w:sz w:val="20"/>
                <w:szCs w:val="16"/>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r w:rsidR="00BB37B3">
              <w:rPr>
                <w:rFonts w:ascii="Arial" w:hAnsi="Arial" w:cs="Arial"/>
                <w:sz w:val="20"/>
                <w:szCs w:val="16"/>
              </w:rPr>
              <w:t xml:space="preserve"> and </w:t>
            </w:r>
            <w:r w:rsidR="005A050B">
              <w:rPr>
                <w:rFonts w:ascii="Arial" w:hAnsi="Arial" w:cs="Arial"/>
                <w:sz w:val="20"/>
                <w:szCs w:val="16"/>
              </w:rPr>
              <w:t>compare and contrast</w:t>
            </w:r>
          </w:p>
          <w:p w:rsidR="008650A0" w:rsidRPr="006D31FF" w:rsidRDefault="008650A0" w:rsidP="005669B0">
            <w:pPr>
              <w:spacing w:after="0" w:line="240" w:lineRule="auto"/>
              <w:rPr>
                <w:rFonts w:ascii="Arial" w:hAnsi="Arial" w:cs="Arial"/>
                <w:sz w:val="20"/>
                <w:szCs w:val="20"/>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931553" w:rsidRPr="00F67793" w:rsidRDefault="00955E06" w:rsidP="00F67793">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begin discussion on </w:t>
            </w:r>
            <w:r w:rsidR="00B20D35">
              <w:rPr>
                <w:rFonts w:ascii="Arial" w:hAnsi="Arial" w:cs="Arial"/>
                <w:sz w:val="20"/>
                <w:szCs w:val="20"/>
              </w:rPr>
              <w:t xml:space="preserve">Chapter </w:t>
            </w:r>
            <w:r w:rsidR="008C13D6">
              <w:rPr>
                <w:rFonts w:ascii="Arial" w:hAnsi="Arial" w:cs="Arial"/>
                <w:sz w:val="20"/>
                <w:szCs w:val="20"/>
              </w:rPr>
              <w:t>3</w:t>
            </w:r>
            <w:r w:rsidR="00B20D35">
              <w:rPr>
                <w:rFonts w:ascii="Arial" w:hAnsi="Arial" w:cs="Arial"/>
                <w:sz w:val="20"/>
                <w:szCs w:val="20"/>
              </w:rPr>
              <w:t xml:space="preserve"> </w:t>
            </w:r>
            <w:r w:rsidR="005A050B">
              <w:rPr>
                <w:rFonts w:ascii="Arial" w:hAnsi="Arial" w:cs="Arial"/>
                <w:sz w:val="20"/>
                <w:szCs w:val="20"/>
              </w:rPr>
              <w:t>L</w:t>
            </w:r>
            <w:r w:rsidR="00296CED">
              <w:rPr>
                <w:rFonts w:ascii="Arial" w:hAnsi="Arial" w:cs="Arial"/>
                <w:sz w:val="20"/>
                <w:szCs w:val="20"/>
              </w:rPr>
              <w:t xml:space="preserve">esson </w:t>
            </w:r>
            <w:r w:rsidR="005A050B">
              <w:rPr>
                <w:rFonts w:ascii="Arial" w:hAnsi="Arial" w:cs="Arial"/>
                <w:sz w:val="20"/>
                <w:szCs w:val="20"/>
              </w:rPr>
              <w:t>3</w:t>
            </w:r>
            <w:r w:rsidR="00296CED">
              <w:rPr>
                <w:rFonts w:ascii="Arial" w:hAnsi="Arial" w:cs="Arial"/>
                <w:sz w:val="20"/>
                <w:szCs w:val="20"/>
              </w:rPr>
              <w:t xml:space="preserve"> </w:t>
            </w:r>
            <w:r w:rsidR="005A050B">
              <w:rPr>
                <w:rFonts w:ascii="Arial" w:hAnsi="Arial" w:cs="Arial"/>
                <w:sz w:val="20"/>
                <w:szCs w:val="20"/>
              </w:rPr>
              <w:t>Big Business.</w:t>
            </w:r>
            <w:r w:rsidR="008650A0">
              <w:rPr>
                <w:rFonts w:ascii="Arial" w:hAnsi="Arial" w:cs="Arial"/>
                <w:sz w:val="20"/>
                <w:szCs w:val="20"/>
              </w:rPr>
              <w:t xml:space="preserve"> This chapter</w:t>
            </w:r>
            <w:r w:rsidR="00E43A8F">
              <w:rPr>
                <w:rFonts w:ascii="Arial" w:hAnsi="Arial" w:cs="Arial"/>
                <w:sz w:val="20"/>
                <w:szCs w:val="20"/>
              </w:rPr>
              <w:t xml:space="preserve"> will cover </w:t>
            </w:r>
            <w:r w:rsidR="005A050B">
              <w:rPr>
                <w:rFonts w:ascii="Arial" w:hAnsi="Arial" w:cs="Arial"/>
                <w:sz w:val="20"/>
                <w:szCs w:val="20"/>
              </w:rPr>
              <w:t>The Rise of Industry in America</w:t>
            </w:r>
            <w:r w:rsidR="00E43A8F">
              <w:rPr>
                <w:rFonts w:ascii="Arial" w:hAnsi="Arial" w:cs="Arial"/>
                <w:sz w:val="20"/>
                <w:szCs w:val="20"/>
              </w:rPr>
              <w:t>.  The focus of today’s less</w:t>
            </w:r>
            <w:r w:rsidR="00830F3E">
              <w:rPr>
                <w:rFonts w:ascii="Arial" w:hAnsi="Arial" w:cs="Arial"/>
                <w:sz w:val="20"/>
                <w:szCs w:val="20"/>
              </w:rPr>
              <w:t xml:space="preserve">on will be </w:t>
            </w:r>
            <w:r w:rsidR="008C13D6">
              <w:rPr>
                <w:rFonts w:ascii="Arial" w:hAnsi="Arial" w:cs="Arial"/>
                <w:sz w:val="20"/>
                <w:szCs w:val="20"/>
              </w:rPr>
              <w:t>introducing</w:t>
            </w:r>
            <w:r w:rsidR="00B20D35">
              <w:rPr>
                <w:rFonts w:ascii="Arial" w:hAnsi="Arial" w:cs="Arial"/>
                <w:sz w:val="20"/>
                <w:szCs w:val="20"/>
              </w:rPr>
              <w:t xml:space="preserve"> the main ideas surrounding </w:t>
            </w:r>
            <w:r w:rsidR="005A050B">
              <w:rPr>
                <w:rFonts w:ascii="Arial" w:hAnsi="Arial" w:cs="Arial"/>
                <w:sz w:val="20"/>
                <w:szCs w:val="20"/>
              </w:rPr>
              <w:t>Big Business</w:t>
            </w:r>
            <w:r w:rsidR="008C13D6">
              <w:rPr>
                <w:rFonts w:ascii="Arial" w:hAnsi="Arial" w:cs="Arial"/>
                <w:sz w:val="20"/>
                <w:szCs w:val="20"/>
              </w:rPr>
              <w:t xml:space="preserve"> in America</w:t>
            </w:r>
            <w:r w:rsidR="003F741B">
              <w:rPr>
                <w:rFonts w:ascii="Arial" w:hAnsi="Arial" w:cs="Arial"/>
                <w:sz w:val="20"/>
                <w:szCs w:val="20"/>
              </w:rPr>
              <w:t>.</w:t>
            </w:r>
            <w:r w:rsidR="00757ADA">
              <w:rPr>
                <w:rFonts w:ascii="Arial" w:hAnsi="Arial" w:cs="Arial"/>
                <w:sz w:val="20"/>
                <w:szCs w:val="20"/>
              </w:rPr>
              <w:t xml:space="preserve"> </w:t>
            </w:r>
            <w:r w:rsidR="00F67793">
              <w:rPr>
                <w:rFonts w:ascii="Arial" w:hAnsi="Arial" w:cs="Arial"/>
                <w:sz w:val="20"/>
                <w:szCs w:val="20"/>
              </w:rPr>
              <w:t xml:space="preserve">Students will be required to listen, ask, and answer questions in order to </w:t>
            </w:r>
            <w:r w:rsidR="00F67793" w:rsidRPr="0066204E">
              <w:rPr>
                <w:rFonts w:ascii="Arial" w:hAnsi="Arial" w:cs="Arial"/>
                <w:sz w:val="20"/>
                <w:szCs w:val="20"/>
              </w:rPr>
              <w:t>familiarize themselves w</w:t>
            </w:r>
            <w:r w:rsidR="00F67793">
              <w:rPr>
                <w:rFonts w:ascii="Arial" w:hAnsi="Arial" w:cs="Arial"/>
                <w:sz w:val="20"/>
                <w:szCs w:val="20"/>
              </w:rPr>
              <w:t>ith the topic, key ideas and terms. Students will also be required to take Cornell notes pertaining to relevant information regarding the topic.</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p>
          <w:p w:rsidR="00C25133" w:rsidRPr="00C25133" w:rsidRDefault="008F7D91" w:rsidP="008F7D91">
            <w:pPr>
              <w:spacing w:after="0" w:line="240" w:lineRule="auto"/>
            </w:pPr>
            <w:r>
              <w:rPr>
                <w:rFonts w:ascii="Arial" w:hAnsi="Arial" w:cs="Arial"/>
                <w:sz w:val="20"/>
                <w:szCs w:val="16"/>
              </w:rPr>
              <w:t xml:space="preserve">Students will be completing a jig saw activity with titans of the big business era.  Students will read mini bios of some of the </w:t>
            </w:r>
            <w:proofErr w:type="gramStart"/>
            <w:r>
              <w:rPr>
                <w:rFonts w:ascii="Arial" w:hAnsi="Arial" w:cs="Arial"/>
                <w:sz w:val="20"/>
                <w:szCs w:val="16"/>
              </w:rPr>
              <w:t>eras</w:t>
            </w:r>
            <w:proofErr w:type="gramEnd"/>
            <w:r>
              <w:rPr>
                <w:rFonts w:ascii="Arial" w:hAnsi="Arial" w:cs="Arial"/>
                <w:sz w:val="20"/>
                <w:szCs w:val="16"/>
              </w:rPr>
              <w:t xml:space="preserve"> biggest business men and then engaging in a share out activity within their groups.  </w:t>
            </w:r>
            <w:r w:rsidR="00C25133">
              <w:rPr>
                <w:rFonts w:ascii="Arial" w:hAnsi="Arial" w:cs="Arial"/>
                <w:sz w:val="20"/>
              </w:rPr>
              <w:t xml:space="preserve">Instructor will rotate around the room and make sure groups are on task and then guide discussion. Group share out prior to end of class.  Writing activity to close class – SIE based on the Essential Question of the day. </w:t>
            </w:r>
            <w:r w:rsidR="00C25133">
              <w:rPr>
                <w:rFonts w:ascii="Arial" w:hAnsi="Arial" w:cs="Arial"/>
                <w:b/>
                <w:sz w:val="20"/>
                <w:szCs w:val="16"/>
                <w:u w:val="single"/>
              </w:rPr>
              <w:t>WRAP- UP</w:t>
            </w:r>
            <w:r w:rsidR="00C25133">
              <w:rPr>
                <w:rFonts w:ascii="Arial" w:hAnsi="Arial" w:cs="Arial"/>
                <w:b/>
                <w:sz w:val="20"/>
                <w:szCs w:val="16"/>
              </w:rPr>
              <w:t>:</w:t>
            </w:r>
            <w:r w:rsidR="00C25133">
              <w:rPr>
                <w:rFonts w:ascii="Arial" w:hAnsi="Arial" w:cs="Arial"/>
                <w:sz w:val="20"/>
                <w:szCs w:val="16"/>
              </w:rPr>
              <w:t xml:space="preserve"> Instructor will utilize information from the </w:t>
            </w:r>
            <w:proofErr w:type="gramStart"/>
            <w:r w:rsidR="00C25133">
              <w:rPr>
                <w:rFonts w:ascii="Arial" w:hAnsi="Arial" w:cs="Arial"/>
                <w:sz w:val="20"/>
                <w:szCs w:val="16"/>
              </w:rPr>
              <w:t>days</w:t>
            </w:r>
            <w:proofErr w:type="gramEnd"/>
            <w:r w:rsidR="00C25133">
              <w:rPr>
                <w:rFonts w:ascii="Arial" w:hAnsi="Arial" w:cs="Arial"/>
                <w:sz w:val="20"/>
                <w:szCs w:val="16"/>
              </w:rPr>
              <w:t xml:space="preserve"> class to review the aforementioned topic and present students with higher order questioning</w:t>
            </w:r>
            <w:r w:rsidR="00C25133">
              <w:t>.</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F67793" w:rsidRPr="00F67793" w:rsidRDefault="00F67793" w:rsidP="00F67793">
            <w:pPr>
              <w:numPr>
                <w:ilvl w:val="0"/>
                <w:numId w:val="19"/>
              </w:numPr>
              <w:rPr>
                <w:rFonts w:ascii="Arial" w:hAnsi="Arial" w:cs="Arial"/>
                <w:i/>
                <w:sz w:val="20"/>
                <w:szCs w:val="20"/>
              </w:rPr>
            </w:pPr>
            <w:r w:rsidRPr="00F67793">
              <w:rPr>
                <w:rFonts w:ascii="Arial" w:hAnsi="Arial" w:cs="Arial"/>
                <w:sz w:val="16"/>
                <w:szCs w:val="16"/>
              </w:rPr>
              <w:t>Can you think of any</w:t>
            </w:r>
            <w:r w:rsidR="00296CED" w:rsidRPr="00F67793">
              <w:rPr>
                <w:rFonts w:ascii="Arial" w:hAnsi="Arial" w:cs="Arial"/>
                <w:sz w:val="16"/>
                <w:szCs w:val="16"/>
              </w:rPr>
              <w:t xml:space="preserve"> </w:t>
            </w:r>
            <w:r w:rsidRPr="00F67793">
              <w:rPr>
                <w:rFonts w:ascii="Arial" w:hAnsi="Arial" w:cs="Arial"/>
                <w:sz w:val="16"/>
                <w:szCs w:val="16"/>
              </w:rPr>
              <w:t>companies in America that utilize horizontal or vertical integration today</w:t>
            </w:r>
            <w:r>
              <w:rPr>
                <w:rFonts w:ascii="Arial" w:hAnsi="Arial" w:cs="Arial"/>
                <w:sz w:val="16"/>
                <w:szCs w:val="16"/>
              </w:rPr>
              <w:t>?</w:t>
            </w:r>
          </w:p>
          <w:p w:rsidR="00F67793" w:rsidRPr="00F67793" w:rsidRDefault="00F67793" w:rsidP="00F67793">
            <w:pPr>
              <w:numPr>
                <w:ilvl w:val="0"/>
                <w:numId w:val="19"/>
              </w:numPr>
              <w:rPr>
                <w:rStyle w:val="Emphasis"/>
                <w:rFonts w:ascii="Arial" w:hAnsi="Arial" w:cs="Arial"/>
                <w:iCs w:val="0"/>
                <w:sz w:val="20"/>
                <w:szCs w:val="20"/>
              </w:rPr>
            </w:pPr>
            <w:r w:rsidRPr="00F67793">
              <w:rPr>
                <w:rStyle w:val="Emphasis"/>
                <w:rFonts w:ascii="Arial" w:hAnsi="Arial" w:cs="Arial"/>
                <w:i w:val="0"/>
                <w:iCs w:val="0"/>
                <w:sz w:val="16"/>
                <w:szCs w:val="16"/>
              </w:rPr>
              <w:t>Can you think of any modern day monopolies?</w:t>
            </w:r>
          </w:p>
          <w:p w:rsidR="003F741B" w:rsidRPr="00F67793" w:rsidRDefault="0009587F" w:rsidP="00F67793">
            <w:pPr>
              <w:numPr>
                <w:ilvl w:val="0"/>
                <w:numId w:val="19"/>
              </w:numPr>
              <w:rPr>
                <w:rFonts w:ascii="Arial" w:hAnsi="Arial" w:cs="Arial"/>
                <w:i/>
                <w:sz w:val="20"/>
                <w:szCs w:val="20"/>
              </w:rPr>
            </w:pPr>
            <w:r w:rsidRPr="00F67793">
              <w:rPr>
                <w:rStyle w:val="Emphasis"/>
                <w:bCs/>
                <w:i w:val="0"/>
                <w:sz w:val="20"/>
                <w:szCs w:val="20"/>
              </w:rPr>
              <w:t xml:space="preserve">What advantages </w:t>
            </w:r>
            <w:r w:rsidR="00F67793">
              <w:rPr>
                <w:rStyle w:val="Emphasis"/>
                <w:bCs/>
                <w:i w:val="0"/>
                <w:sz w:val="20"/>
                <w:szCs w:val="20"/>
              </w:rPr>
              <w:t>might a</w:t>
            </w:r>
            <w:r w:rsidRPr="00F67793">
              <w:rPr>
                <w:rStyle w:val="Emphasis"/>
                <w:bCs/>
                <w:i w:val="0"/>
                <w:sz w:val="20"/>
                <w:szCs w:val="20"/>
              </w:rPr>
              <w:t xml:space="preserve"> large corporation have </w:t>
            </w:r>
            <w:r w:rsidRPr="00F67793">
              <w:rPr>
                <w:rStyle w:val="Emphasis"/>
                <w:bCs/>
                <w:i w:val="0"/>
                <w:sz w:val="20"/>
                <w:szCs w:val="20"/>
              </w:rPr>
              <w:lastRenderedPageBreak/>
              <w:t>over small businesses</w:t>
            </w:r>
            <w:r w:rsidR="00BB37B3" w:rsidRPr="00F67793">
              <w:rPr>
                <w:rStyle w:val="Strong"/>
                <w:i/>
                <w:sz w:val="20"/>
                <w:szCs w:val="20"/>
              </w:rPr>
              <w:t>?</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8F7D91"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00200ABA">
              <w:rPr>
                <w:rFonts w:ascii="Arial" w:hAnsi="Arial" w:cs="Arial"/>
                <w:b/>
                <w:sz w:val="20"/>
                <w:szCs w:val="20"/>
              </w:rPr>
              <w:t>:</w:t>
            </w:r>
            <w:r w:rsidR="0009587F">
              <w:rPr>
                <w:rFonts w:ascii="Arial" w:hAnsi="Arial" w:cs="Arial"/>
                <w:b/>
                <w:sz w:val="20"/>
                <w:szCs w:val="20"/>
              </w:rPr>
              <w:t xml:space="preserve"> </w:t>
            </w:r>
            <w:r w:rsidR="008F7D91" w:rsidRPr="008F7D91">
              <w:rPr>
                <w:rFonts w:ascii="Arial" w:hAnsi="Arial" w:cs="Arial"/>
                <w:sz w:val="20"/>
                <w:szCs w:val="20"/>
              </w:rPr>
              <w:t>Primary Source Analysis Activity</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4B640C" w:rsidTr="003E56F4">
        <w:trPr>
          <w:trHeight w:val="465"/>
        </w:trPr>
        <w:tc>
          <w:tcPr>
            <w:tcW w:w="3168" w:type="dxa"/>
          </w:tcPr>
          <w:p w:rsidR="004B640C" w:rsidRPr="0031222E" w:rsidRDefault="004B640C" w:rsidP="003E56F4">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4B640C" w:rsidRPr="0031222E" w:rsidRDefault="004B640C" w:rsidP="003E56F4">
            <w:pPr>
              <w:spacing w:after="0" w:line="240" w:lineRule="auto"/>
              <w:rPr>
                <w:rFonts w:ascii="Arial" w:hAnsi="Arial" w:cs="Arial"/>
                <w:b/>
                <w:sz w:val="20"/>
                <w:szCs w:val="20"/>
              </w:rPr>
            </w:pPr>
          </w:p>
          <w:bookmarkStart w:id="2" w:name="Dropdown11"/>
          <w:p w:rsidR="004B640C" w:rsidRDefault="00C467B1" w:rsidP="003E56F4">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4B640C">
              <w:rPr>
                <w:rStyle w:val="NoteLevel11"/>
              </w:rPr>
              <w:instrText xml:space="preserve"> FORMDROPDOWN </w:instrText>
            </w:r>
            <w:r w:rsidR="00650200">
              <w:rPr>
                <w:rStyle w:val="NoteLevel11"/>
              </w:rPr>
            </w:r>
            <w:r w:rsidR="00650200">
              <w:rPr>
                <w:rStyle w:val="NoteLevel11"/>
              </w:rPr>
              <w:fldChar w:fldCharType="separate"/>
            </w:r>
            <w:r>
              <w:rPr>
                <w:rStyle w:val="NoteLevel11"/>
              </w:rPr>
              <w:fldChar w:fldCharType="end"/>
            </w:r>
            <w:bookmarkEnd w:id="2"/>
            <w:r w:rsidR="004B640C">
              <w:rPr>
                <w:rStyle w:val="NoteLevel11"/>
              </w:rPr>
              <w:t xml:space="preserve"> </w:t>
            </w:r>
          </w:p>
          <w:p w:rsidR="004B640C" w:rsidRPr="0031222E" w:rsidRDefault="004B640C" w:rsidP="003E56F4">
            <w:pPr>
              <w:spacing w:after="0" w:line="240" w:lineRule="auto"/>
              <w:rPr>
                <w:rFonts w:ascii="Arial" w:hAnsi="Arial" w:cs="Arial"/>
                <w:b/>
                <w:sz w:val="20"/>
                <w:szCs w:val="20"/>
              </w:rPr>
            </w:pPr>
          </w:p>
          <w:p w:rsidR="004B640C" w:rsidRPr="0031222E" w:rsidRDefault="004B640C" w:rsidP="003E56F4">
            <w:pPr>
              <w:spacing w:after="0" w:line="240" w:lineRule="auto"/>
              <w:rPr>
                <w:rFonts w:ascii="Arial" w:hAnsi="Arial" w:cs="Arial"/>
                <w:sz w:val="20"/>
                <w:szCs w:val="20"/>
              </w:rPr>
            </w:pPr>
            <w:r w:rsidRPr="0031222E">
              <w:rPr>
                <w:rFonts w:ascii="Arial" w:hAnsi="Arial" w:cs="Arial"/>
                <w:b/>
                <w:sz w:val="20"/>
                <w:szCs w:val="20"/>
              </w:rPr>
              <w:t>Marzano’s 9 High-Yield Strategies</w:t>
            </w:r>
          </w:p>
          <w:p w:rsidR="004B640C" w:rsidRPr="0031222E" w:rsidRDefault="004B640C" w:rsidP="003E56F4">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4B640C" w:rsidRPr="0031222E" w:rsidRDefault="004B640C" w:rsidP="003E56F4">
            <w:pPr>
              <w:spacing w:after="0" w:line="240" w:lineRule="auto"/>
              <w:rPr>
                <w:rFonts w:ascii="Arial" w:hAnsi="Arial" w:cs="Arial"/>
                <w:sz w:val="18"/>
                <w:szCs w:val="18"/>
              </w:rPr>
            </w:pP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 Notetaking</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Assignment(s):</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4B640C" w:rsidRDefault="004B640C" w:rsidP="00C25133">
            <w:pPr>
              <w:spacing w:after="0" w:line="240" w:lineRule="auto"/>
              <w:rPr>
                <w:rFonts w:ascii="Arial" w:hAnsi="Arial" w:cs="Arial"/>
                <w:b/>
                <w:sz w:val="20"/>
                <w:szCs w:val="20"/>
              </w:rPr>
            </w:pPr>
            <w:r w:rsidRPr="0031222E">
              <w:rPr>
                <w:rFonts w:ascii="Arial" w:hAnsi="Arial" w:cs="Arial"/>
                <w:sz w:val="20"/>
                <w:szCs w:val="20"/>
              </w:rPr>
              <w:t>Student(s):</w:t>
            </w:r>
            <w:r>
              <w:rPr>
                <w:rFonts w:ascii="Arial" w:hAnsi="Arial" w:cs="Arial"/>
                <w:sz w:val="20"/>
                <w:szCs w:val="20"/>
              </w:rPr>
              <w:t xml:space="preserve"> </w:t>
            </w:r>
          </w:p>
          <w:p w:rsidR="004B640C" w:rsidRDefault="004B640C" w:rsidP="003E56F4">
            <w:pPr>
              <w:spacing w:after="0" w:line="240" w:lineRule="auto"/>
              <w:rPr>
                <w:rFonts w:ascii="Arial" w:hAnsi="Arial" w:cs="Arial"/>
                <w:b/>
                <w:sz w:val="20"/>
                <w:szCs w:val="20"/>
              </w:rPr>
            </w:pPr>
          </w:p>
          <w:p w:rsidR="004B640C" w:rsidRPr="00FB426E" w:rsidRDefault="004B640C" w:rsidP="003E56F4">
            <w:pPr>
              <w:spacing w:after="0" w:line="240" w:lineRule="auto"/>
              <w:rPr>
                <w:rFonts w:ascii="Arial" w:hAnsi="Arial" w:cs="Arial"/>
                <w:b/>
                <w:sz w:val="16"/>
                <w:szCs w:val="16"/>
              </w:rPr>
            </w:pPr>
            <w:r>
              <w:rPr>
                <w:rFonts w:ascii="Arial" w:hAnsi="Arial" w:cs="Arial"/>
                <w:b/>
                <w:sz w:val="20"/>
                <w:szCs w:val="20"/>
              </w:rPr>
              <w:t>Bottom Quartile in Bold</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w:t>
            </w:r>
          </w:p>
          <w:p w:rsidR="004B640C" w:rsidRDefault="004B640C" w:rsidP="003E56F4">
            <w:pPr>
              <w:spacing w:after="0" w:line="240" w:lineRule="auto"/>
              <w:rPr>
                <w:rFonts w:ascii="Arial" w:hAnsi="Arial" w:cs="Arial"/>
                <w:sz w:val="20"/>
                <w:szCs w:val="20"/>
              </w:rPr>
            </w:pP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p>
        </w:tc>
        <w:tc>
          <w:tcPr>
            <w:tcW w:w="3960"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4B640C" w:rsidRPr="00685DA5" w:rsidRDefault="004B640C" w:rsidP="003E56F4">
            <w:pPr>
              <w:spacing w:after="0" w:line="240" w:lineRule="auto"/>
              <w:rPr>
                <w:rFonts w:ascii="Arial" w:hAnsi="Arial" w:cs="Arial"/>
                <w:sz w:val="20"/>
                <w:szCs w:val="20"/>
              </w:rPr>
            </w:pPr>
            <w:r w:rsidRPr="00685DA5">
              <w:rPr>
                <w:rFonts w:ascii="Arial" w:hAnsi="Arial" w:cs="Arial"/>
                <w:sz w:val="20"/>
                <w:szCs w:val="20"/>
              </w:rPr>
              <w:t>Assignment(s):</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4B640C" w:rsidRPr="00685DA5" w:rsidRDefault="004B640C" w:rsidP="003E56F4">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4B640C" w:rsidRPr="00685DA5" w:rsidRDefault="004B640C" w:rsidP="003E56F4">
            <w:pPr>
              <w:spacing w:after="0" w:line="240" w:lineRule="auto"/>
              <w:rPr>
                <w:rFonts w:ascii="Arial" w:hAnsi="Arial" w:cs="Arial"/>
                <w:sz w:val="20"/>
                <w:szCs w:val="20"/>
              </w:rPr>
            </w:pPr>
            <w:r w:rsidRPr="00685DA5">
              <w:rPr>
                <w:rFonts w:ascii="Arial" w:hAnsi="Arial" w:cs="Arial"/>
                <w:sz w:val="20"/>
                <w:szCs w:val="20"/>
              </w:rPr>
              <w:t>Student(s):</w:t>
            </w:r>
          </w:p>
          <w:p w:rsidR="004B640C" w:rsidRPr="0031222E" w:rsidRDefault="004B640C" w:rsidP="003E56F4">
            <w:pPr>
              <w:spacing w:after="0" w:line="240" w:lineRule="auto"/>
              <w:ind w:left="720"/>
              <w:rPr>
                <w:rFonts w:ascii="Arial" w:hAnsi="Arial" w:cs="Arial"/>
                <w:sz w:val="20"/>
                <w:szCs w:val="20"/>
              </w:rPr>
            </w:pPr>
          </w:p>
          <w:p w:rsidR="004B640C" w:rsidRPr="00197623" w:rsidRDefault="004B640C" w:rsidP="003E56F4">
            <w:pPr>
              <w:spacing w:after="0" w:line="240" w:lineRule="auto"/>
              <w:ind w:left="720"/>
              <w:rPr>
                <w:rFonts w:ascii="Arial" w:hAnsi="Arial" w:cs="Arial"/>
                <w:sz w:val="16"/>
                <w:szCs w:val="16"/>
              </w:rPr>
            </w:pPr>
          </w:p>
        </w:tc>
        <w:tc>
          <w:tcPr>
            <w:tcW w:w="3708"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Assignment(s):</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4B640C" w:rsidRPr="0031222E" w:rsidRDefault="004B640C" w:rsidP="003E56F4">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4B640C" w:rsidRDefault="004B640C" w:rsidP="00C25133">
            <w:pPr>
              <w:spacing w:after="0" w:line="240" w:lineRule="auto"/>
              <w:rPr>
                <w:rFonts w:ascii="Arial" w:hAnsi="Arial" w:cs="Arial"/>
                <w:sz w:val="20"/>
                <w:szCs w:val="20"/>
              </w:rPr>
            </w:pPr>
            <w:r w:rsidRPr="0031222E">
              <w:rPr>
                <w:rFonts w:ascii="Arial" w:hAnsi="Arial" w:cs="Arial"/>
                <w:sz w:val="20"/>
                <w:szCs w:val="20"/>
              </w:rPr>
              <w:t>Student(s):</w:t>
            </w: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p>
          <w:p w:rsidR="004B640C" w:rsidRPr="00197623" w:rsidRDefault="004B640C" w:rsidP="003E56F4">
            <w:pPr>
              <w:spacing w:after="0" w:line="240" w:lineRule="auto"/>
              <w:ind w:left="720"/>
              <w:rPr>
                <w:rFonts w:ascii="Arial" w:hAnsi="Arial" w:cs="Arial"/>
                <w:sz w:val="16"/>
                <w:szCs w:val="16"/>
              </w:rPr>
            </w:pPr>
          </w:p>
        </w:tc>
      </w:tr>
    </w:tbl>
    <w:p w:rsidR="00C423CB" w:rsidRDefault="00C423CB" w:rsidP="00931553">
      <w:pPr>
        <w:rPr>
          <w:rFonts w:ascii="Arial" w:hAnsi="Arial" w:cs="Arial"/>
          <w:b/>
          <w:sz w:val="20"/>
          <w:szCs w:val="20"/>
        </w:rPr>
      </w:pPr>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15:restartNumberingAfterBreak="0">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47"/>
    <w:rsid w:val="000351A9"/>
    <w:rsid w:val="00041F2A"/>
    <w:rsid w:val="00043A90"/>
    <w:rsid w:val="00087CE7"/>
    <w:rsid w:val="0009327B"/>
    <w:rsid w:val="0009587F"/>
    <w:rsid w:val="000D1DF6"/>
    <w:rsid w:val="000E52F2"/>
    <w:rsid w:val="00102BF2"/>
    <w:rsid w:val="0017097C"/>
    <w:rsid w:val="001970ED"/>
    <w:rsid w:val="00200ABA"/>
    <w:rsid w:val="00211144"/>
    <w:rsid w:val="00263872"/>
    <w:rsid w:val="0026427C"/>
    <w:rsid w:val="00296CED"/>
    <w:rsid w:val="002B692B"/>
    <w:rsid w:val="002D055C"/>
    <w:rsid w:val="0030505C"/>
    <w:rsid w:val="003211D5"/>
    <w:rsid w:val="0039386E"/>
    <w:rsid w:val="003C244E"/>
    <w:rsid w:val="003F741B"/>
    <w:rsid w:val="00462C05"/>
    <w:rsid w:val="004671D6"/>
    <w:rsid w:val="004B32E9"/>
    <w:rsid w:val="004B5B6E"/>
    <w:rsid w:val="004B640C"/>
    <w:rsid w:val="004E127D"/>
    <w:rsid w:val="00537737"/>
    <w:rsid w:val="005669B0"/>
    <w:rsid w:val="005733F1"/>
    <w:rsid w:val="0059564A"/>
    <w:rsid w:val="005A050B"/>
    <w:rsid w:val="005B3848"/>
    <w:rsid w:val="005F3151"/>
    <w:rsid w:val="006104FA"/>
    <w:rsid w:val="00611614"/>
    <w:rsid w:val="00650200"/>
    <w:rsid w:val="00654647"/>
    <w:rsid w:val="00661517"/>
    <w:rsid w:val="0066204E"/>
    <w:rsid w:val="006B5AC2"/>
    <w:rsid w:val="006C4966"/>
    <w:rsid w:val="006C57A9"/>
    <w:rsid w:val="006D3FD8"/>
    <w:rsid w:val="006D4BCB"/>
    <w:rsid w:val="00724A16"/>
    <w:rsid w:val="00724D9B"/>
    <w:rsid w:val="00755B6A"/>
    <w:rsid w:val="00757ADA"/>
    <w:rsid w:val="00777046"/>
    <w:rsid w:val="007A4423"/>
    <w:rsid w:val="007B52EF"/>
    <w:rsid w:val="00827255"/>
    <w:rsid w:val="00830F3E"/>
    <w:rsid w:val="00854D47"/>
    <w:rsid w:val="008650A0"/>
    <w:rsid w:val="00885F29"/>
    <w:rsid w:val="008A0D7B"/>
    <w:rsid w:val="008B4BE2"/>
    <w:rsid w:val="008C13D6"/>
    <w:rsid w:val="008C5B18"/>
    <w:rsid w:val="008F1717"/>
    <w:rsid w:val="008F7D91"/>
    <w:rsid w:val="00931553"/>
    <w:rsid w:val="00942E11"/>
    <w:rsid w:val="00955E06"/>
    <w:rsid w:val="009630A3"/>
    <w:rsid w:val="009C3715"/>
    <w:rsid w:val="009F3C3B"/>
    <w:rsid w:val="00A02ED3"/>
    <w:rsid w:val="00A671F5"/>
    <w:rsid w:val="00AA7A5B"/>
    <w:rsid w:val="00AC158B"/>
    <w:rsid w:val="00AC2E1D"/>
    <w:rsid w:val="00AD32CA"/>
    <w:rsid w:val="00AD4C91"/>
    <w:rsid w:val="00AF5197"/>
    <w:rsid w:val="00B03689"/>
    <w:rsid w:val="00B070FB"/>
    <w:rsid w:val="00B15571"/>
    <w:rsid w:val="00B20D35"/>
    <w:rsid w:val="00B25FF5"/>
    <w:rsid w:val="00B81CB9"/>
    <w:rsid w:val="00B826A2"/>
    <w:rsid w:val="00BB292F"/>
    <w:rsid w:val="00BB37B3"/>
    <w:rsid w:val="00BE41D5"/>
    <w:rsid w:val="00BE48CD"/>
    <w:rsid w:val="00BE5F47"/>
    <w:rsid w:val="00C1513D"/>
    <w:rsid w:val="00C25133"/>
    <w:rsid w:val="00C34ABA"/>
    <w:rsid w:val="00C423CB"/>
    <w:rsid w:val="00C467B1"/>
    <w:rsid w:val="00C56BC3"/>
    <w:rsid w:val="00CC0AC4"/>
    <w:rsid w:val="00CF019F"/>
    <w:rsid w:val="00D40FCE"/>
    <w:rsid w:val="00D51866"/>
    <w:rsid w:val="00D61D46"/>
    <w:rsid w:val="00D91E8E"/>
    <w:rsid w:val="00DA13CC"/>
    <w:rsid w:val="00DD28BA"/>
    <w:rsid w:val="00DE38F2"/>
    <w:rsid w:val="00E07631"/>
    <w:rsid w:val="00E2588C"/>
    <w:rsid w:val="00E26B15"/>
    <w:rsid w:val="00E43A8F"/>
    <w:rsid w:val="00E47E73"/>
    <w:rsid w:val="00E80E0D"/>
    <w:rsid w:val="00EC347C"/>
    <w:rsid w:val="00F10A7E"/>
    <w:rsid w:val="00F5485C"/>
    <w:rsid w:val="00F67793"/>
    <w:rsid w:val="00F83662"/>
    <w:rsid w:val="00F92D80"/>
    <w:rsid w:val="00FA1F36"/>
    <w:rsid w:val="00FB1C91"/>
    <w:rsid w:val="00FC05AF"/>
    <w:rsid w:val="00FD1234"/>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7B21996-882B-444A-B7E2-44B5C391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 w:type="paragraph" w:styleId="NoSpacing">
    <w:name w:val="No Spacing"/>
    <w:uiPriority w:val="1"/>
    <w:qFormat/>
    <w:rsid w:val="008650A0"/>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3800">
      <w:bodyDiv w:val="1"/>
      <w:marLeft w:val="0"/>
      <w:marRight w:val="0"/>
      <w:marTop w:val="0"/>
      <w:marBottom w:val="0"/>
      <w:divBdr>
        <w:top w:val="none" w:sz="0" w:space="0" w:color="auto"/>
        <w:left w:val="none" w:sz="0" w:space="0" w:color="auto"/>
        <w:bottom w:val="none" w:sz="0" w:space="0" w:color="auto"/>
        <w:right w:val="none" w:sz="0" w:space="0" w:color="auto"/>
      </w:divBdr>
    </w:div>
    <w:div w:id="328559819">
      <w:bodyDiv w:val="1"/>
      <w:marLeft w:val="0"/>
      <w:marRight w:val="0"/>
      <w:marTop w:val="0"/>
      <w:marBottom w:val="0"/>
      <w:divBdr>
        <w:top w:val="none" w:sz="0" w:space="0" w:color="auto"/>
        <w:left w:val="none" w:sz="0" w:space="0" w:color="auto"/>
        <w:bottom w:val="none" w:sz="0" w:space="0" w:color="auto"/>
        <w:right w:val="none" w:sz="0" w:space="0" w:color="auto"/>
      </w:divBdr>
      <w:divsChild>
        <w:div w:id="2012563271">
          <w:marLeft w:val="0"/>
          <w:marRight w:val="0"/>
          <w:marTop w:val="0"/>
          <w:marBottom w:val="0"/>
          <w:divBdr>
            <w:top w:val="none" w:sz="0" w:space="0" w:color="auto"/>
            <w:left w:val="none" w:sz="0" w:space="0" w:color="auto"/>
            <w:bottom w:val="none" w:sz="0" w:space="0" w:color="auto"/>
            <w:right w:val="none" w:sz="0" w:space="0" w:color="auto"/>
          </w:divBdr>
          <w:divsChild>
            <w:div w:id="16548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877013867">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352492665">
      <w:bodyDiv w:val="1"/>
      <w:marLeft w:val="0"/>
      <w:marRight w:val="0"/>
      <w:marTop w:val="0"/>
      <w:marBottom w:val="0"/>
      <w:divBdr>
        <w:top w:val="none" w:sz="0" w:space="0" w:color="auto"/>
        <w:left w:val="none" w:sz="0" w:space="0" w:color="auto"/>
        <w:bottom w:val="none" w:sz="0" w:space="0" w:color="auto"/>
        <w:right w:val="none" w:sz="0" w:space="0" w:color="auto"/>
      </w:divBdr>
      <w:divsChild>
        <w:div w:id="357849890">
          <w:marLeft w:val="0"/>
          <w:marRight w:val="0"/>
          <w:marTop w:val="0"/>
          <w:marBottom w:val="0"/>
          <w:divBdr>
            <w:top w:val="none" w:sz="0" w:space="0" w:color="auto"/>
            <w:left w:val="none" w:sz="0" w:space="0" w:color="auto"/>
            <w:bottom w:val="none" w:sz="0" w:space="0" w:color="auto"/>
            <w:right w:val="none" w:sz="0" w:space="0" w:color="auto"/>
          </w:divBdr>
          <w:divsChild>
            <w:div w:id="54155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162366">
      <w:bodyDiv w:val="1"/>
      <w:marLeft w:val="0"/>
      <w:marRight w:val="0"/>
      <w:marTop w:val="0"/>
      <w:marBottom w:val="0"/>
      <w:divBdr>
        <w:top w:val="none" w:sz="0" w:space="0" w:color="auto"/>
        <w:left w:val="none" w:sz="0" w:space="0" w:color="auto"/>
        <w:bottom w:val="none" w:sz="0" w:space="0" w:color="auto"/>
        <w:right w:val="none" w:sz="0" w:space="0" w:color="auto"/>
      </w:divBdr>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38237417">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2FEA9A-CCB8-11DD-A7C8-69619DFF4B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nected.mcgraw-hill.com/ssh/DA1E3DB4-4B74-11DB-ABAF-F681ADECFD11" TargetMode="External"/><Relationship Id="rId12" Type="http://schemas.openxmlformats.org/officeDocument/2006/relationships/hyperlink" Target="http://connected.mcgraw-hill.com/ssh/AF399400-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E254A-4B74-11DB-ABAF-F681ADECFD11" TargetMode="External"/><Relationship Id="rId11" Type="http://schemas.openxmlformats.org/officeDocument/2006/relationships/hyperlink" Target="http://connected.mcgraw-hill.com/ssh/AF372B70-CCB8-11DD-A7C8-69619DFF4B22" TargetMode="External"/><Relationship Id="rId5" Type="http://schemas.openxmlformats.org/officeDocument/2006/relationships/hyperlink" Target="http://connected.mcgraw-hill.com/ssh/DA1BAB62-4B74-11DB-ABAF-F681ADECFD11" TargetMode="External"/><Relationship Id="rId10" Type="http://schemas.openxmlformats.org/officeDocument/2006/relationships/hyperlink" Target="http://connected.mcgraw-hill.com/ssh/AF365A92-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826</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Sacerdote, Kevin R.</cp:lastModifiedBy>
  <cp:revision>2</cp:revision>
  <cp:lastPrinted>2012-09-18T11:35:00Z</cp:lastPrinted>
  <dcterms:created xsi:type="dcterms:W3CDTF">2015-10-10T16:42:00Z</dcterms:created>
  <dcterms:modified xsi:type="dcterms:W3CDTF">2015-10-10T16:42:00Z</dcterms:modified>
</cp:coreProperties>
</file>